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2022年全国统一高考历史试卷（乙卷）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一、选择题：本题共12小题，每小题4分，共48分。在每小题给出的四个选项中，只有一项是符合题目要求的。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1．（4分）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 " type="#_x0000_t75" style="height:251.3pt;width:305.3pt;" filled="f" o:preferrelative="t" stroked="f" coordsize="21600,21600">
            <v:path/>
            <v:fill on="f" focussize="0,0"/>
            <v:stroke on="f"/>
            <v:imagedata r:id="rId10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据如图可知，商、西周青铜器铸造的繁荣（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A．推动了南北农业经济进步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B．依赖大规模商业活动开展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C．反映了南北方联系的加强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D．缘于统治区域扩大到江南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4分）盛唐洋溢着刚健丰伟、庄重博大的时代气象，这在书法艺术上亦有体现。宋代书法家米芾推崇唐代某位书法家的作品“如项羽挂甲，樊哙排突，硬弩欲张，铁柱将立，昂然有不可犯之色”。能够突出体现这一风格的书体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A．小篆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B．楷书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C．行书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D．草书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4分）宋朝在州府设通判，重要州府设两名，民户少的州可以不置，但若武官任知州，则必置。通判有自己专属的衙门通判厅，与知州（府）共议政务、同署文书，“有军旅之事，则专任钱粮之责”。据此可知，设置通判的主要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A．规范地方行政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B．防止武人干政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C．提升军事能力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D．削弱州府权力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4．（4分）明后期有士人称，江南流行“好名喜夸”之风，家中但凡有千金之产，必定会营建一园，“近聚土壤，远延木石，聊以矜眩于一时耳”，但“俗气扑人”。这可用于说明（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A．士大夫传统观念的颠覆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B．世俗化审美趣味的初现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C．士农工商社会结构解体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D．江南市镇工商业的繁荣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4分）维新变法期间，湖南巡抚陈宝箴推行变法改革，但在上《请厘正学术造就人才折》中称“康有为平日所著《孔子改制考》一书……其徒和之，持之愈坚，失之愈远，嚣然自命，号为‘康学’，而民权平等之说炽矣”，并奏请销毁《孔子改制考》。这种主张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A．推动了新旧势力的合流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B．试图突破“中体西用”束缚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C．有助于减少变法的阻力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D．意在彻底否定变法理论基础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4分）据某位学者回忆，“‘五四’初期，一般人多以新旧分别事物”，中国古来已有的一概称为旧，古来未有或来自外国的一概称为新；不久，有了“更高的判别的准绳……对于古今、中外能够排好恰当的关系”，并不一概否定或肯定。这一转变反映出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A．东西方文化论争由此引发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B．传统儒学思想开始受到批判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C．全盘西化的思想得以消除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D．思想解放运动方向发生变化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4分）20世纪30年代，中共中央决定将苏维埃工农共和国改变为苏维埃人民共和国，政策调整为：给一切革命的小资产阶级及其知识分子以选举权和被选举权，停止没收富农的土地及财产，允许有产阶级代表参加苏区政权管理工作，等等。上述调整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A．适应建立抗日民族统一战线的需要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B．是为武装反抗国民党进行社会动员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C．表明党的中心工作以夺取城市为目标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D．为建立民主联合政府争取广泛的支持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8．（4分）如图是1978年与1986年北京郊区男户主职业占比变化情况。这一变化的产生主要是由于（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 " type="#_x0000_t75" style="height:102pt;width:220.55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A．城市经济体制改革开始酝酿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B．农村经济体制改革深化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C．城乡之间的差异呈缩小趋势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D．城市产业结构日益完善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4分）据学者研究，古代雅典官员在接受任职资格审查时，需要回答：直系亲属姓名及男性亲属所在村社名称、崇拜的神祇及其圣所所在地、墓葬方位、是否善待双亲、是否纳税、是否服兵役等。下列属于成为古代雅典官员前提条件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A．军事才能、宗教信仰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B．道德品质、演说能力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C．丰厚财力、贵族血统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D．本邦籍贯、成年男性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4分）16世纪中叶，法国人帕斯基耶写作《法国研究》时说，“我用俗语（而非拉丁语）写作”；布代的《论钱币》处处流露出捍卫法国文化并与意大利人竞争的意识。有学者因此认为，16世纪是“法国意识”萌发的世纪。据此可知，“法国意识”的萌发缘于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A．人文主义思想的广泛传播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B．新兴阶层摆脱宗教神权束缚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C．资本主义经济的迅猛发展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D．“人民主权”学说深入人心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4分）1879年，德国杜伊斯堡成为世界最大内河港口，输入矿砂和粮食，输出煤和钢铁制品。1900年，德国船队总吨位由1870年不足百万吨发展至近200万吨，成为蒸汽时代以来第一个能与大英帝国一争高低的船队。由此可知，这一时期的德国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A．已经确立“世界工厂”的地位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B．航运业的发展助长其海外扩张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C．海上实力飞跃源于蒸汽机的改进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D．共和政体确立推动经济飞速发展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1917年3月中旬，加米涅夫和斯大林连续发表文章，主张只要临时政府不直接危及群众利益，就应给予支持；要求放弃无条件反对战争的立场，改行对临时政府施加压力以迫其开始和谈的策略。这个主张得到了党内大多数人的支持。这表明当时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A．临时政府反对继续进行帝国主义战争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B．沙皇残余势力仍对革命存在严重威胁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C．布尔什维克党对革命形势认识尚不明晰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D．国际局势不利于俄国革命持续深入发展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二、非选择题：共52分。第13～14题为必考题，每个试题考生都必须作答。第15～17题为选考题，考生根据要求作答。（一）必考题：共37分。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13．（25分）阅读材料，完成下列要求。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20世纪50年代，日本颁布“外资法”等一系列法规，加强对技术引进的管理。政府有关部门根据不同时期经济发展的需要，列出鼓励进口和限制进口的技术项目，对私人企业的技术引进加以指导。其后，日本政府逐渐放宽引进技术的管理和审查标准。企业决定引进方式和内容，并承担引进过程中的一切风险，所引进的技术主要来自欧美。1962年到1966年，在企业提出的技术引进申请中，有90.4%获得了批准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——摘编自王永生《技术进步及其组织——日本的经验与中国的实践》等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新中国成立后即确立发展科技的方针。1956年，国家制定12年科技规划，明确提出在进行科学研究时，应该首先掌握世界现有的先进科学成就，在开展国际科学合作时应力求自力更生。在技术引进方面，50年代，由苏联援建、成套供应设备的项目共计304项；由东欧各国援建、成套供应设备的建设项目共116项。引进成套设备的同时，还重视引进科学技术、人才、资金和管理经验。1960年，苏联政府决定撤走全部在华专家。这以后，我国完全依靠自己的力量发展国防尖端科学技术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——摘编自杨德才等《二十世纪中国科学技术史稿》等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20世纪五六十年代，中国面对着严峻的国际形势，党中央果断决定研制“两弹一星”，重点突破国防尖端技术。中央确定我国国防尖端科技的发展，要坚持自力更生为主、力争外援和利用资本主义国家已有的科学成果的方针，强调把立足点放在自力更生的基础上，通过自己的科学研究和实践，培养人才，掌握技术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——据中共中央党史研究室《中国共产党历史》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（1）根据材料一、二，概括20世纪五六十年代中日两国技术引进的特点。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（2）根据材料并结合所学知识，分析中日技术引进呈现不同特点的背景。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（3）根据材料并结合所学知识，简析20世纪五六十年代中国科技发展的历史经验。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14．（12分）阅读材料，完成下列要求。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材料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解读史料，获得历史认识，探寻史料表象背后的意蕴，是历史学的魅力所在。下表为史书所载东汉时期几位良吏的事迹。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75"/>
        <w:gridCol w:w="1177"/>
        <w:gridCol w:w="613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任职地</w:t>
            </w:r>
          </w:p>
        </w:tc>
        <w:tc>
          <w:tcPr>
            <w:tcW w:w="78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事迹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刘陵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安成</w:t>
            </w:r>
          </w:p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（今属江西）</w:t>
            </w:r>
          </w:p>
        </w:tc>
        <w:tc>
          <w:tcPr>
            <w:tcW w:w="781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先时多虎，百姓患之，皆徙他县。陵之官，修德政，逾月，虎悉出界去，民皆还之。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法雄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南郡</w:t>
            </w:r>
          </w:p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（今属湖北）</w:t>
            </w:r>
          </w:p>
        </w:tc>
        <w:tc>
          <w:tcPr>
            <w:tcW w:w="781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郡）多虎狼之暴，前太守赏募张捕，反为所害者甚众。雄乃移书属县曰：“凡虎狼之在山林，犹人民之居城市。古者至化之世，猛兽不扰。皆由恩信宽泽，仁及飞（禽）走（兽）……其毁坏槛阱，不得妄捕山林。”是后虎害稍息，人以获安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刘平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全椒</w:t>
            </w:r>
          </w:p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（今属安徽）</w:t>
            </w:r>
          </w:p>
        </w:tc>
        <w:tc>
          <w:tcPr>
            <w:tcW w:w="781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县多虎为害，平到修政，选进儒良，黜贪残，视事三月，虎皆渡江而去。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童恢</w:t>
            </w:r>
          </w:p>
        </w:tc>
        <w:tc>
          <w:tcPr>
            <w:tcW w:w="14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不其</w:t>
            </w:r>
          </w:p>
          <w:p>
            <w:pPr>
              <w:widowControl w:val="0"/>
              <w:spacing w:line="360" w:lineRule="auto"/>
              <w:jc w:val="center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（今属山东）</w:t>
            </w:r>
          </w:p>
        </w:tc>
        <w:tc>
          <w:tcPr>
            <w:tcW w:w="781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8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民尝为虎所害，乃设槛捕之，生获二虎。恢闻而出，咒虎曰：“天生万物，唯人为贵……汝若是杀人者，当垂头服罪；自知非者，当号呼称冤。”一虎低头闭目，状如震惧，即时杀之。其一视恢鸣吼，踊跃自奋，遂令放释。吏人为之歌颂。</w:t>
            </w:r>
          </w:p>
        </w:tc>
      </w:tr>
    </w:tbl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——据《后汉书》等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阐述从上述材料中发现的历史现象，并得出一个结论。（要求：现象源自材料，结论明确，史论结合，表述清晰。）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（二）选考题：共15分。请考生从3道历史题中任选一题作答。如果多做，则按所做的第一题计分。[历史——选修1：历史上重大改革回眸]（15分）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15．（15分）材料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商鞅变法，严惩百姓私相斗殴行为，奖励军功，授以爵位田宅，养成“民勇于公战，怯于私斗”的风气，秦国的军队几乎战无不胜，统治区域不断扩大，被当时六国人称为“虎狼之国”。荀子曾访问秦国，他认为秦国管理有效，承认秦国军队战斗力强悍：“齐之技击，不可以遇魏氏之武卒；魏氏之武卒，不可以遇秦之锐士。”但他认为按商鞅之法组建的秦国军队，“隆势诈，尚功利”，无礼义教化，“干赏蹈利”（求赏逐利），只能称之为“盗兵”。“尚功利之兵，则胜、不胜，无常”，不能与春秋时齐桓公的军队相比，更不能与商汤王、周武王那样的仁义之师相提并论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——摘编自《荀子》等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（1）根据材料并结合所学知识，简析荀子称商鞅变法后的秦国军队为“盗兵”的原因。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（2）根据材料并结合所学知识，评价商鞅的军事改革。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[历史——选修3：20世纪的战争与和平]（15分）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16．材料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1955年12月，美国、英国意欲资助埃及修建阿斯旺水坝，并提出一系列附加条件，但为埃及领导人纳赛尔拒绝。次年6月，苏联提出为埃及修建阿斯旺水坝提供无附加条件的贷款。7月，在美英两国先后宣布撤销对阿斯旺水坝的援助后，纳赛尔也宣布将英、法控制的苏伊士运河公司收归国有。英国和法国对埃及这一决定反应非常强烈，决定以军事手段维护两国的利益。8月10日，苏联发表声明，支持埃及将运河国有化的决定。10月29日，英法联合以色列向埃及发动进攻，苏伊士运河战争爆发。在美国和苏联的压力下，英法两国和以色列在11月6日宣布停火。此后，法国进一步走上寻求欧洲联合的道路，英国也加快了从殖民地撤离的步伐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——摘编自王缉思、牛军主编《缔造霸权：冷战时期的美国战略与决策》等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（1）根据材料并结合所学知识，简析苏伊士运河战争爆发前后美国对英国的态度变化及其目的。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（2）根据材料并结合所学知识，说明苏伊士运河战争对当时西方阵营的影响。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[历史——选修4：中外历史人物评说]（15分）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17．材料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1948年11月，中共中央发出关于在新解放城市中召开各界人民代表会议的指示。1949年8月至12月，毛泽东以中央或个人名义发出多份电报，督促各地尽快召开各界人民代表会议，并报告开会情况；批复和批转不少地区关于召开各界人民代表会议的报告，推广开会经验。毛泽东在指导各地召开各界人民代表会议的实践中，提出一系列带有方针、政策性的重要指导思想：各界人民代表会议是人民代表大会的前身，是人民群众参政议政的初期组织形式；召开各界人民代表会议是一件大事，这个会议是团结各界人民的重要工具；在党的领导下，充分发扬民主，切实开好各界人民代表会议。1949年7月以后，由于党中央和毛泽东发出许多关于召开各界人民代表会议的指示，各地都迅速召开这一会议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——摘编自《党的文献》编辑部《共和国走过的路——建国以来重要文献专题选集》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（1）根据材料并结合所学知识，说明毛泽东高度重视各界人民代表会议的原因。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（2）根据材料并结合所学知识，简析毛泽东督促召开各界人民代表会议的历史意义。</w:t>
      </w:r>
    </w:p>
    <w:p>
      <w:pPr>
        <w:spacing w:line="360" w:lineRule="auto"/>
        <w:jc w:val="center"/>
      </w:pPr>
      <w:r>
        <w:br w:type="page"/>
      </w:r>
    </w:p>
    <w:p>
      <w:pPr>
        <w:spacing w:line="360" w:lineRule="auto"/>
        <w:jc w:val="center"/>
        <w:rPr>
          <w:color w:val="0000FF"/>
          <w:sz w:val="40"/>
          <w:szCs w:val="44"/>
        </w:rPr>
      </w:pPr>
      <w:r>
        <w:rPr>
          <w:rFonts w:hint="eastAsia" w:ascii="Times New Roman" w:hAnsi="Times New Roman" w:eastAsia="新宋体"/>
          <w:b/>
          <w:color w:val="0000FF"/>
          <w:sz w:val="28"/>
          <w:szCs w:val="28"/>
        </w:rPr>
        <w:t>参考答案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 w:val="21"/>
          <w:szCs w:val="21"/>
        </w:rPr>
        <w:t>一、选择题：本题共12小题，每小题4分，共48分。在每小题给出的四个选项中，只有一项是符合题目要求的。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1．C。2．B。3．D。4．D。5．D。6．D。7．B。8．B。9．</w:t>
      </w:r>
      <w:r>
        <w:rPr>
          <w:rFonts w:hint="eastAsia" w:ascii="Times New Roman" w:hAnsi="Times New Roman" w:eastAsia="新宋体"/>
          <w:color w:val="0000FF"/>
          <w:sz w:val="21"/>
          <w:szCs w:val="21"/>
          <w:lang w:val="en-US" w:eastAsia="zh-CN"/>
        </w:rPr>
        <w:t>D。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10．C。11．B。12．C。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 w:val="21"/>
          <w:szCs w:val="21"/>
        </w:rPr>
        <w:t>二、非选择题：共52分。第13～14题为必考题，每个试题考生都必须作答。第15～17题为选考题，考生根据要求作答。（一）必考题：共37分。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13．（1）特点：日本：根据材料“日本颁布‘外资法’等一系列法规，加强对技术引进的管理”可概括出颁布法律，加强管理；根据材料“政府有关部门根据不同时期经济发展的需要，列出鼓励进口和限制进口的技术项目，对私人企业的技术引进加以指导”可概括出政府主导和指导技术的引进；根据材料“日本政府逐渐放宽引进技术的管理和审查标准”“并承担引进过程中的一切风险”“所引进的技术主要来自欧美”可概括出逐步放松技术引进的限制；企业和政府共同承担风险；技术主要来源国为欧美；政府重视和支持技术引进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中国：根据材料“新中国成立后即确立发展科技的方针”“国家制定12年科技规划，明确提出在进行科学研究时，应该首先掌握世界现有的先进科学成就”可概括出政府支持和明确发展科技的方针；制定科技发展规划；注重对现有先进科技的掌握；根据材料“在开展国际科学合作时应力求自力更生”“50年代，由苏联援建、成套供应设备的项目共计304项；由东欧各国援建、成套供应设备的建设项目共116项”可概括出技术来源国为苏联、东欧等社会主义国家为主；根据材料“引进成套设备的同时，还重视引进科学技术、人才、资金和管理经验”可概括出注重科技人才、设备和管理经验的全面发展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背景：结合材料时间和所学从二战结束后，第三次科技革命方兴未艾；二战结束后，两极格局建立，中国和日本分属社会主义和资本主义两个不同阵营；中国科技基础较差，日本拥有先进的科技基础；日本是资本主义国家，中国在50年代逐步建立起计划经济体制等角度分析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3）本问较开放，言之有理即可。综合上述材料和所学从注重吸收国外新进的技术发展经验，更要以自力更生为前提；注重国家的引导和支持；继续深化经济体制改革和对外开放程度，和经济全球化接轨；发展和世界各国良性的外交关系；注重发展高新技术；注重技术引进的多元化等角度分析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（1）特点：日本：颁布法律，加强管理；政府主导和指导技术的引进；逐步放松技术引进的限制；企业和政府共同承担风险；技术主要来源国为欧美；政府重视和支持技术引进。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中国：政府支持和明确发展科技的方针；制定科技发展规划；注重对现有先进科技的掌握；自力更生和技术引进相结合，自力更生为主；技术来源国为苏联、东欧等社会主义国家为主；注重科技人才、设备和管理经验的全面发展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背景：二战结束后，第三次科技革命方兴未艾；二战结束后，两极格局建立，中国和日本分属社会主义和资本主义两个不同阵营；中国科技基础较差，日本拥有先进的科技基础；日本是资本主义国家，中国在50年代逐步建立起计划经济体制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3）历史经验：注重吸收国外新进的技术发展经验，更要以自力更生为前提；注重国家的引导和支持；继续深化经济体制改革和对外开放程度，和经济全球化接轨；发展和世界各国良性的外交关系；注重发展高新技术；注重技术引进的多元化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14．根据材料“陵之官，修德政，逾月，虎悉出界去”“平到修政，选进儒良，黜贪残，视事三月，虎皆渡江而去”等信息可概括出现象为虎患的严重与否和官吏治理地方的好坏有关。结合材料时间“东汉”并结合所学可知，这种观点是受到儒家思想的影响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现象：虎患的严重与否和官吏治理地方的好坏有关。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结论：儒家的“仁政”思想影响东汉的治国理念。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论述：汉武帝时期实行“罢黜百家，独尊儒术”的政策，儒家思想成为官方正统思想。儒家提倡“仁政”“民本”“天人感应”等主张，材料中的东汉官员因为修德政和实行“仁政”“民本”等思想，虎患得到平息，史书通过联系虎患和官吏的治理来告诫官吏一定要廉洁奉公，为民着想，明显受到儒家“仁政”思想的影响。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 w:val="21"/>
          <w:szCs w:val="21"/>
        </w:rPr>
        <w:t>（二）选考题：共15分。请考生从3道历史题中任选一题作答。如果多做，则按所做的第一题计分。[历史——选修1：历史上重大改革回眸]（15分）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15．（1）原因：根据材料“但他认为……”及所学荀子的思想派别可知，荀子是儒家学派代表人物，强调仁义礼治；根据材料“‘隆势诈，尚功利’，无礼义教化，‘干赏蹈利’（求赏逐利）”可知，秦国军队崇尚功利，背离仁义礼仪，违背儒家思想要求；根据材料“尚功利之兵，则胜、不胜，无常”“不能与春秋时齐桓公的军队相比，更不能与商汤王、周武王那样的仁义之师相提并论”可知，秦军脱离人民群众，最终因无法得到百姓拥护而失败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评价：根据材料“秦国的军队几乎战无不胜，统治区域不断扩大，被当时六国人称为‘虎狼之国’。”“承认秦国军队战斗力强悍”及所学商鞅变法的影响可知，商鞅的军事改革提高了秦军的战斗力，使秦国在兼并战争中立于不败之地；为后来秦王嬴政武力统一天下奠定了基础；由第一问分析可知，商鞅崇尚法治，推崇功利，所建军队成为维护专制皇权的工具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（1）原因：荀子是儒家学派代表人物，强调仁义礼治；秦国军队崇尚功利，背离仁义礼仪，违背儒家思想要求；秦军脱离人民群众，最终因无法得到百姓拥护而失败。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（2）评价：商鞅的军事改革提高了秦军的战斗力，使秦国在兼并战争中立于不败之地；为后来秦王嬴政武力统一天下奠定了基础；商鞅崇尚法治，推崇功利，所建军队成为维护专制皇权的工具。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 w:val="21"/>
          <w:szCs w:val="21"/>
        </w:rPr>
        <w:t>[历史——选修3：20世纪的战争与和平]（15分）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16．（1）变化：根据材料“美国、英国意欲资助埃及修建阿斯旺水坝”“在美国和苏联的压力下，英法两国和以色列在11月6日宣布停火”可概括出从支持英国到反对英法对埃及发动战争。目的：从维护美国在中东地区的利益，排挤英法在埃及的势力；维护战后两极格局的力量平衡；美国维护国家利益的需要等角度分析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影响：根据材料“法国进一步走上寻求欧洲联合的道路，英国也加快了从殖民地撤离的步伐”并结合所学从进一步促进欧洲一体化进程；使得西方阵营出现裂缝，加强了英法摆脱美国控制，走独立自主的道路；促进了中东地区以及其他亚非拉国家的民族解放运动，促进了世界殖民体系的崩溃；削弱了英法的国际地位，调整了资本主义阵营内的大国关系；扩大了美国在中东的影响力等角度作答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（1）变化：态度：从支持英国到反对英法对埃及发动战争。目的：维护美国在中东地区的利益，排挤英法在埃及的势力；维护战后两极格局的力量平衡；美国维护国家利益的需要。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影响：进一步促进欧洲一体化进程；使得西方阵营出现裂缝，加强了英法摆脱美国控制，走独立自主的道路；促进了中东地区以及其他亚非拉国家的民族解放运动，促进了世界殖民体系的崩溃；削弱了英法的国际地位，调整了资本主义阵营内的大国关系；扩大了美国在中东的影响力。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 w:val="21"/>
          <w:szCs w:val="21"/>
        </w:rPr>
        <w:t>[历史——选修4：中外历史人物评说]（15分）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17．（1）原因：根据材料“1948年11月，中共中央发出关于在新解放城市中召开各界人民代表会议的指示”“1949年8月至12月，毛泽东以中央或个人名义发出多份电报，督促各地尽快召开各界人民代表会议”可概括出解放战争已经取得战略决战的胜利，新民主主义革命即将完成，召开各界人民代表会议为新中国成立奠定基础；根据材料“是人民群众参政议政的初期组织形式；召开各界人民代表会议是一件大事，这个会议是团结各界人民的重要工具；在党的领导下，充分发扬民主，切实开好各界人民代表会议”可概括出充分发挥民主，促进解放战争的最后胜利；为了建立人民当家做主的新中国；为了团结各界人民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意义：根据材料“召开各界人民代表会议是一件大事”可概括出有利于团结各界人士；根据材料“各界人民代表会议是人民代表大会的前身，是人民群众参政议政的初期组织形式”可概括出为人民代表大会制度建立积累了宝贵经验；根据材料“是人民群众参政议政的初期组织形式”可概括出有利于发扬民主，建立人民当家做主的政权；结合所学可概括出为新中国成立奠定基础；有利于提高党在人民心中的威望，巩固党的统治。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故答案为：</w:t>
      </w:r>
    </w:p>
    <w:p>
      <w:pPr>
        <w:spacing w:line="360" w:lineRule="auto"/>
        <w:ind w:left="273" w:leftChars="130" w:right="0" w:firstLine="0" w:firstLineChars="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1）原因：解放战争已经取得战略决战的胜利，新民主主义革命即将完成，召开各界人民代表会议为新中国成立奠定基础；充分发挥民主，促进解放战争的最后胜利；为了建立人民当家做主的新中国；为了团结各界人民。</w:t>
      </w:r>
    </w:p>
    <w:p>
      <w:pPr>
        <w:spacing w:line="360" w:lineRule="auto"/>
        <w:ind w:left="273" w:leftChars="130" w:right="0" w:firstLine="0" w:firstLineChars="0"/>
        <w:rPr>
          <w:rFonts w:hint="default" w:eastAsia="宋体"/>
          <w:color w:val="0000FF"/>
          <w:lang w:val="en-US" w:eastAsia="zh-CN"/>
        </w:rPr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（2）意义：有利于团结各界人士；有利于促进解放战争的最终胜利；有利于发扬民主，建立人民当家做主的政权；为新中国成立奠定基础；为人民代表大会制度建立积累了宝贵经验；有利于提高党在人民心中的威望，巩固党的统治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pict>
        <v:shape id="_x0000_s2049" o:spid="_x0000_s2049" o:spt="75" alt="稻壳文库水印.png\纵向水印" type="#_x0000_t75" style="position:absolute;left:0pt;height:571.65pt;width:414.6pt;mso-position-horizontal:center;mso-position-horizontal-relative:page;mso-position-vertical:center;mso-position-vertical-relative:page;z-index:-251658240;mso-width-relative:page;mso-height-relative:page;" filled="f" o:preferrelative="t" stroked="f" coordsize="21600,21600">
          <v:path/>
          <v:fill on="f" focussize="0,0"/>
          <v:stroke on="f"/>
          <v:imagedata r:id="rId1" o:title="纵向水印"/>
          <o:lock v:ext="edit" aspectratio="f"/>
        </v:shape>
      </w:pict>
    </w:r>
  </w:p>
  <w:p>
    <w:pPr>
      <w:pBdr>
        <w:bottom w:val="single" w:color="000000" w:sz="8" w:space="0"/>
      </w:pBdr>
      <w:rPr>
        <w:rFonts w:hint="eastAsia" w:eastAsia="宋体"/>
        <w:lang w:eastAsia="zh-CN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216F2F3E"/>
    <w:rsid w:val="4585292C"/>
    <w:rsid w:val="65AE58DE"/>
    <w:rsid w:val="70B90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styleId="10">
    <w:name w:val="No Spacing"/>
    <w:link w:val="16"/>
    <w:qFormat/>
    <w:uiPriority w:val="1"/>
    <w:rPr>
      <w:rFonts w:ascii="Calibri" w:hAnsi="Calibri" w:eastAsia="宋体" w:cs="Times New Roman"/>
      <w:kern w:val="0"/>
      <w:sz w:val="22"/>
      <w:szCs w:val="22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6">
    <w:name w:val="无间隔 Char"/>
    <w:basedOn w:val="8"/>
    <w:link w:val="10"/>
    <w:uiPriority w:val="1"/>
    <w:rPr>
      <w:kern w:val="0"/>
      <w:sz w:val="22"/>
    </w:rPr>
  </w:style>
  <w:style w:type="character" w:styleId="17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15648</Words>
  <Characters>15879</Characters>
  <Lines>1</Lines>
  <Paragraphs>1</Paragraphs>
  <TotalTime>0</TotalTime>
  <ScaleCrop>false</ScaleCrop>
  <LinksUpToDate>false</LinksUpToDate>
  <CharactersWithSpaces>16097</CharactersWithSpaces>
  <Application>WPS Office_11.1.0.10385_F1E327BC-269C-435d-A152-05C5408002CA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2022-06-09T16:31:00Z</dcterms:created>
  <dc:creator>momo</dc:creator>
  <cp:lastModifiedBy>kingsoft</cp:lastModifiedBy>
  <cp:lastPrinted>2022-06-09T16:31:00Z</cp:lastPrinted>
  <dcterms:modified xsi:type="dcterms:W3CDTF">2022-06-12T03:19:35Z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2052-11.1.0.10385</vt:lpwstr>
  </property>
  <property fmtid="{D5CDD505-2E9C-101B-9397-08002B2CF9AE}" pid="3" name="ICV">
    <vt:lpwstr>C9BD4BD55B97479BA8419C8C41B07883</vt:lpwstr>
  </property>
  <property fmtid="{D5CDD505-2E9C-101B-9397-08002B2CF9AE}" pid="4" name="KSOTemplateUUID">
    <vt:lpwstr>v1.0_library_fhC8AJHor/xoLUw4e7Jung==</vt:lpwstr>
  </property>
</Properties>
</file>